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02.04.2021, оставленным без изменения постановлением Тринадцатого арбитражного апелляционного суда от 09.06.2021, в удовлетворении заявленных требований отказано. Постановлением Арбитражного суда Северо-Западного округа от 30.08.2021 указанные судебные акты оставлены без изменения. Предприниматель обратилась в Верховный Суд Российской Федерации с кассационной жалобой, в которой просит принятые по делу судебные акты отменить, ссылаясь на нарушения судами норм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выплаты предпринимателем заработной платы иностранным работникам - нерезидентам по трудовым договорам без использования банковских счетов. Частью 1 статьи 15.25 КоАП РФ предусмотрена административная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3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предпринимателя состава административного правонарушения, предусмотренного частью 1 статьи 15.25 КоАП РФ. Суды признали, что процедура привлечения к административной ответственности не нарушена, вина предпринимателя установлена, административное наказание назначено в минимальном размере санкции статьи, срок давности привлечения к ответственности соблюден, оснований для применения положений о малозначительности правонарушения не имеется. Довод жалобы относительно неверного указания в протоколах об административном правонарушении места его совершения был предметом исследования суда округа и получил исчерпывающую правовую оценку.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