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процессуальном правопреемстве кредитора – общества с ограниченной ответственностью Коммерческого банка экономического развития «Банк Казани» (далее – банк) на себя. Определением Арбитражного суда Республики Татарстан от 16.12.2020, оставленным без изменения постановлением Одиннадцатого арбитражного апелляционного суда от 31.03.2021, заявление удовлетворено. Заменено в третьей очереди реестра требований кредиторов должника требование банка на правопреемника – общество в размере 29 949 058 рублей 89 копеек основного долга, 1 397 509 рублей 52 копеек процентов за пользование кредитом, 4 031 692 рублей 91 копеек штрафных санкций. Постановлением Арбитражного суда Поволжского округа от 10.08.2021 названные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спор на новое рассмотрение, суд округа, применительно к положениям пункта 5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 из того, что содержащиеся в них выводы основаны на неполном исследовании всех доказательств и установлении фактических обстоятельств, имеющих существенное значение для правильного разрешения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(или) норм процессуального права, судом округа не допущено. При новом рассмотрении заявитель не лишён возможности изложить свои доводы и возражения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«ГарАвто»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