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«Российские железные дороги» обратилось в Арбитражный суд города Санкт-Петербурга и Ленинградской области с иском о взыскании с общества с ограниченной ответственностью «Промышленная группа «Фосфорит» (далее - общество) 190 902 рублей платы за предоставление железнодорожных путей общего пользования, 1 916 рублей 81 копейки процентов за пользование чужими денежными средствами, с последующим их начислением до даты фактического исполнения обязательств. Решением Арбитражного суда города Санкт-Петербурга и Ленинградской области от 21.01.2021, принятым в порядке упрощенного производства, иск удовлетворен. Постановлением Тринадцатого арбитражного апелляционного суда от 24.03.2021 решение суда изменено; с ответчика в пользу истца взыскано 177 993 рубля 23 копейки платы за предоставление железнодорожных путей общего пользования, 413 рублей 37 копеек процентов за пользование чужими денежными средствами, с последующим их начислением до даты фактического исполнения обязательств; в остальной части в удовлетворении иска отказано. 2 Арбитражный суд Северо-Западного округа постановлением от 12.08.2021 постановление суда апелляционной инстанции отменил и оставил в силе решение суда первой инстанции. Общество с ограниченной ответственностью «Промышленная группа «Фосфорит» обратилось в Судебную коллегию Верховного Суда Российской Федерации с кассационной жалобой на решение суда первой инстанции и постановление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Удовлетворяя иск, суд первой инстанции,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задержки вагонов на путях общего пользования по причинам, зависящим от общества, руководствовался положениями статей 785, 785 Гражданского кодекса Российской Федерации, статьями 33, 39, 119 Федерального закона от 10.01.2003 № 18-ФЗ «Устав железнодорожного транспорта Российской Федерации» и пришел к выводу об обоснованности заявленных требований. Проверив в порядке статей 286, 287 Арбитражного процессуального кодекса Российской Федерации законность судебных актов,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решении суда первой инстанции, установленным фактическим обстоятельствам и имеющимся в деле доказательствам. Доводы жалобы о подаче вагонов ранее оговоренных сроков, обязанности перевозчика планировать доставку приводились при рассмотрении дела, были рассмотрены судами и мотивированно отклонены с учетом установленных по делу фактических обстоятельств. Указанные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3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«Промышленная группа «Фосфорит»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