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24.09.2020, оставленным без изменения постановлением Третьего арбитражного апелляционного суда от 21.06.2021 и постановлением Арбитражного суда Восточно-Сибирского округа от 24.08.2021, заявление удовлетворено. В кассационных жалобах кредиторы просят об отмене судебных актов, ссылаясь на отсутствие влияния приведенного должником обстоятельства на существо определения.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заявленные должником обстоятельства не проверялись при включении требования общества «Европарк» в реестр, установлены определением Арбитражного суда Иркутской области от 12.08.2020 по делу №А19-15530/2016, что придает им признаки поименованных в статье 311 Арбитражного процессуального кодекса Российской Федерации и влияющих на судьбу требования, в отношении которого принято определение от 08.07.2019. В пределах рассматриваемого заявления существо правоотношений обсуждению не подлежит и связанные с ним доводы должны заявляться суду первой инстанции.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«Европарк» и обществу с ограниченной ответственностью «Парапет-А»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