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17.12.2020, оставленным без изменения постановлением Тринадцатого арбитражного апелляционного суда от 29.06.2021, требование Костенкова А.Г. в размере 2 028 408 рублей 82 копеек процентов за пользование чужими денежными средствами включено в реестр требований кредиторов должника в состав третьей очереди как учитываемое отдельно в реестре и подлежащее удовлетворению после погашения основной суммы задолженности. Арбитражный суд Северо-Западного округа постановлением от 25.08.2021 определение от 17.12.2020 и постановление апелляционного суда от 29.06.2021 оставил без изменения. В кассационной жалобе Гедзь О.И. просит об отмене судебных актов, ссылаясь не неправильное определение основания и объема правопреемства кредитора, периода начисления процентов.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задолженность подтверждена решением суда общей юрисдикции и спорные проценты подлежат начислению на нее с момента просрочки уплаты первоначальному кредитору в силу статей 384, 395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Гедзю О.И.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