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28.12.2020, оставленным без изменения постановлением Одиннадцатого арбитражного апелляционного суда от 23.03.2021 и постановлением Арбитражного суда Поволжского округа от 23.07.2021, заявленное требование удовлетворено частично, признано недействительным решение инспекции в части привлечения общества к налоговой ответственности, предусмотренной пунктом 3 статьи 122 Налогового кодекса Российской Федерации (далее - Налоговый кодекс) в виде взыскания штрафа в размере, превышающем 69 639 154 рублей, доначисления акциза в размере, превышающем 518 357 655 рублей, налога на прибыль в размере, превышающем 15 808 460 рублей, налога на добавленную 2 стоимость (далее - НДС) в размере, превышающем 194 108 735 рублей, начисления пеней по данным налогам в размере, превышающем 294 031 378 рублей 82 копейки. В удовлетворении остальной части заявленного требования отказано. В кассационной жалобе, поданной в Верховный Суд Российской Федерации, Тишкин В.Н.,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вопросам правильности исчисления и своевременности уплаты налогов и сборов за период с 01.01.2013 по 31.12.2015. По результатам проверки составлен акт от 08.02.2018 № 3 и принято решение от 02.08.2018 № 8 о привлечении к ответственности за совершение налогового правонарушения, доначислен акциз, налог на прибыль, НДС, соответствующие пени и штрафы. Основанием для доначисления налога послужил вывод налогового органа о несоответствии объемов заявленной слабоалкогольной продукции общества с объемами поставленной продукции в адрес конечных потребителей, что повлекло занижение сумм налогов к уплате в бюджет. Не согласившись с решением налогового органа, общество обратилось в арбитражный суд. При рассмотрении дела судами установлено, что общество является производителем напитков Merry Time, изготовленных на основе пива, и владельцем товарного знака «Merry Time». Кроме данной продукции в проверяемом периоде общество производило безалкогольные напитки, минеральную воду и прочую питьевую воду в бутылках. В ходе проверки налоговым органом выявлено применение налогоплательщиком схемы уклонения от уплаты налогов путем создания искусственной ситуации финансово-хозяйственной деятельности, при которой подакцизная продукция, фактически произведенная обществом, не учитывалась в целях налогообложения и реализовывалась в оптово-розничную сеть через общества «Инвест-Сталь», «ИнвестТорг» и «Росси». При этом спорные контрагенты размещались на охраняемой территории заявителя без соответствующего документального оформления отношений, 3 выявлено осуществление данными организациями продвижения и реализации исключительно продукции общества, отсутствие учета обществом оборудования, используемого для производства спорной слабоалкогольной продукции, установки на оборудовании, используемом для производства напитков Merry Time приборов учета, бухгалтерской документации и непринятие мер к ее восстановлению, несоответствие доходов и расходов руководителя общества. Установив данные обстоятельства, суды согласились с выводами налогового органа о направленности действий общества на сокрытие реальных объемов произведенной и введенной в оборот продукции и его участие в схеме по уклонению от уплаты налогов. Вместе с тем суды признали некорректным определение инспекцией налогооблагаемой базы по налогам, указав, что имеющиеся в деле доказательства позволяют определить действительный объем налоговой обязанности общества по результатам проведенной проверки. Представленные налоговым органом расчеты судами проверены, признаны верными. Нарушений в порядке их составлении не установлено. С учетом установленных обстоятельств, результатов проведенной по делу судебной экспертизы, расчетов действительных налоговых обязательств, суды признали решение инспекции частично законным. Доводы, изложенные в кассационной жалобе, в том числе несогласие с расчетом доначисленных сумм, являлись предметом рассмотрения судов и им дана надлежащая правовая оценка. Приведенные доводы не свидетельствуют о существенных нарушениях норм материального и процессуального права, выражают несогласие с выводами судов по фактическим обстоятельствам настоящего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Тишкину Валерию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