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02.02.2021, оставленным без изменения постановлением Третьего арбитражного апелляционного суда от 12.04.2021 и постановлением Арбитражного суда Восточно-Сибирского округа от 15.07.2021, в удовлетворении иска отказано. В кассационной жалобе общество «Назаровская ГРЭС» просит об отмене судебных актов, ссылаясь на противоречие их судебным актам по другим делам, ненадлежащий характер принятого судами экспертного заключения.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установленных судами обстоятельств следует, что ответчик не является лицом, установившим необоснованный тариф, в спорный тариф являлся действующим и не отвечает признакам неосновательного обогащения, поскольку получен в оплату оказанных услуг, стоимость которых не является завышенной исходя из экспертных выводов. Оспаривание оценки доказательств, к которым относится экспертное заключение,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«Назаровская ГРЭС»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