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11.03.2021, оставленным без изменения постановлением Пятнадцатого арбитражного апелляционного суда от 24.05.2021 и постановлением Арбитражного суда Северо-Кавказского округа от 09.09.2021, в удовлетворении заявления отказано. В кассационной жалобе Шкредов И.В. просит об отмене судебных актов, ссылаясь на неправильную оценку обстоятельств совершения сделки и наличия преюдиции.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мнимости займа опровергается установлением исполнения оспариваемого договора судом общей юрисдикции и в рассматриваемом деле, признанием должника банкротом по признанному обоснованным заявлению заимодавца и отсутствием у должника других неисполненных в период заключения договора обязательств перед сторонними лицами, во вред которым договор мог быть заключен. Таким образом, в признании сделки недействительной отказано правомерно.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Шкредову Ивану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