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жалобой на действия (бездействие) конкурсного управляющего должником Рулева Игоря Борисовича, требованием об отстранении от исполнения возложенных на него обязанностей. Определением Арбитражного суда города Москвы от 25.02.2021, оставленным без изменения постановлениями Девятого арбитражного апелляционного суда от 17.05.2021 и Арбитражного суда Московского округа от 04.08.2021, в удовлетворении жалобы и требования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его жалобы и требования.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20.7, 60, 129, 145 Федерального закона от 26.10.2002 № 127-ФЗ «О несостоятельности (банкротстве)», в отсутствие доказательств нарушения прав должника и его кредиторов, причинения убытков, несоответствия оспариваемых действий (бездействия) конкурсного управляющего должником требованиям законодательства о банкротстве, критериям разумности и добросовестности, не установили оснований для удовлетворении жалобы и требования банка.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«Промсвязьбанк»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