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жалобой на бездействие конкурсного управляющего Горошилова Никиты Викторовича, выразившееся: в невзыскании дебиторской задолженности, в том числе процентов за пользование чужими денежными средствами; в непредставлении в полном объёме выписок по расчётным счётам должника; в неисполнении обязанности по заключению договора дополнительного страхования ответственности. Конкурсный кредитор также просил отстранить Горошилова Н.В. от исполнения возложенных на него обязанностей. Определением Арбитражного суда города Санкт-Петербурга и Ленинградской области от 11.10.2020, оставленным без изменения постановлениями Тринадцатого арбитражного апелляционного суда от 02.03.2021 и Арбитражного суда Северо-Западного округа от 22.07.2021,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129, 145 Федерального закона от 26.10.2002 № 127-ФЗ «О несостоятельности (банкротстве)», исходили из недоказанности фактов наличия оспариваемого бездействия, незаконного, недобросовестного и неразумного поведения конкурсного управляющего, нарушения прав и законных интересов должника, заявителя и иных кредиторов, в том числе, оснований для отстранения от исполнения возложенных на него обязанностей.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Правительства Санкт-Петербурга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