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 признании недействительными решений собрания его кредиторов, оформленных протоколом от 10.03.2020, а также об отстранении финансового управляющего ФИО3 от исполнения возложенных на него обязанностей. Определением Арбитражного суда города Москвы от 12.10.2020 заявление ФИО2 признано необоснованным. Постановлениями Девятого арбитражного апелляционного суда от 24.12.2020 и Арбитражного суда Московского округа от 19.03.2021 определение суда первой инстанции оставлено без изменения. В кассационной жалобе, поданной в Верховный Суд Российской Федерации, должник просит отменить акты судов трех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кассационной жалобы не установлено. Признавая требования ФИО2 необоснованными,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статьями 12, 15 и 20.3 Федерального закона от 26.10.2002 № 127-ФЗ «О несостоятельности (банкротстве)» и исходили из того, что должник не доказал наличие нарушений процедуры проведения собрания кредиторов и пределов его компетенции, а также оснований для отстранения ФИО3 от исполнения обязанностей финансового управляющего.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ИФНС №51 (подробнее) ОАО "Нефтяной Дом-Холдинг" (подробнее) ПАО "Сбербанк России" в лице филиала - Смоленское отделение №8609 (подробнее) Финансовый управляющий Бурлакова Д.Н. -Берестовой Д.Ю.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