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12.02.2021, оставленным без изменения постановлением Четырнадцатого арбитражного апелляционного суда от 21.04.2021 и постановлением Арбитражного суда Северо-Западного округа от 28.06.2021, в удовлетворении заявленного требования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удовлетворить заявление.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предпринимателем 03.04.2020 уточненной налоговой декларации по упрощенной системе налогообложения за 2018 год инспекцией составлен акт и вынесено решение о привлечении к ответственности за совершение налогового правонарушения, которым доначислено 4 724 282 рубля налога. Решением Управления Федеральной налоговой службы по Архангельской области и Ненецкому автономному округу от 11.11.2020 № 07-10/2/14785@, решение инспекции оставлено без изменения. Не согласившись с решением инспекции, предприниматель обратился в арбитражный суд. Отказывая в удовлетворении заявленного требования, суды первой и апелляционной инстанций, руководствуясь положениями Налогового кодекса Российской Федерации (далее - Налоговый кодекс), Законом Архангельской области от 03.04.2015 № 262-15-ОЗ «О льготах по налогу, взимаемому в связи с применением упрощенной системы налогообложения, и налогу, взимаемому в связи с применением патентной системы налогообложения, для налогоплательщиков, впервые зарегистрированных в качестве индивидуальных предпринимателей» (далее - Закон № 262-15-ОЗ), пришли к выводу о том, что решение инспекции соответствует действующему законодательству и не нарушает права и законные интересы предпринимателя. Судебные инстанции исходили из утраты заявителем права на применение налоговой ставки в размере 0 процентов, поскольку в спорный налоговый период доход предпринимателя по осуществляемому виду деятельности превысил предельную величину дохода, установленного пунктом 2 статьи 1 Закона № 262-15-ОЗ. 3 Суд округа поддержал выводы судебных инстанций. Доводы, изложенные в кассационной жалобе, в том числе о необходимости применения в данном случае положений статьи 3 Налогового кодекса, о консультациях налогового органа о предельном размере дохода в 2018 году для применения ставки 0 процентов, являлись предметом рассмотрения судов и получили правовую оценку, не подтверждают существенных нарушений норм материального и процессуального права, повлиявших на исход дела,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Киприянову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