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18.12.2020, оставленным без изменения постановлением Десятого арбитражного апелляционного суда от 19.04.2021 и постановлением Арбитражного суда Московского округа от 03.08.2021, спорный пункт «д» параграфа 19 принят в редакции железной дороги. Арбитражный суд Московского округа постановлением от 03.08.2021 решение от 18.12.2020 и постановление апелляционного суда от 19.04.2021 оставил без изменения. В кассационной жалобе предприятие просит об отмене судебных актов, ссылаясь на неправомерность взимания платы за использование железнодорожного пути перевозчика, учитывая, что операции производятся на приемо-отправочных путях предприятия.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Учитывая, что подача и уборка вагонов на приемо-отправочные пути предприятия осуществляется по используемому на платной основе участку пути перевозчика, спорный пункт правомерно принят в редакции перевозчика.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«Ногинское ППЖТ»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