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ноября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Московской области от 12.02.2021 удовлетворено ходатайство в части исключения из конкурсной массы должника жилого дома (кадастровый номер 50:13:00300322:161) и беседки (кадастровый номер 50:13:00303322:162), расположенных по адресу: Московская область, Пушкинский район, с.п. Царевское, СНТ «Богатырь», уч. 39), прекращено производство по ходатайству в остальной части. Десятый арбитражный суд постановлением от 09.06.2021 определение от 12.02.2021 отменил и в удовлетворении ходатайства отказал. Арбитражный суд Московского округа постановлением от 19.08.2021 постановление Десятого арбитражного апелляционного суда от 09.06.2021 оставил без изменения. В кассационной жалобе Абахов В.Е. просит об отмене судебных актов апелляционного и окружного судов, ссылаясь на наличие в конкурсной массе сопоставимого с долгами имущества, нарушение прав должника и его семьи на жилище и неправильное применение статьи 10 Гражданского кодекса Российской Федерации. В силу части 1 статьи 291.11 Арбитражного процессуального кодекса Российской Федерации основаниями для отмены или изменения Судебной 2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Апелляционный суд установил совершение должником действий по выводу ликвидного имущества из конкурсной массы и искусственному приданию спорному имуществу исполнительского иммунитета, поэтому, руководствуясь статьей 213.25 Федерального закона от 26.10.2002 № 127-ФЗ «О несостоятельности (банкротстве)», статьей 446 Гражданского кодекса Российской Федерации статьей 10 Гражданского кодекса Российской Федерации, постановлением Пленума Верховного Суда Российской Федерации от 13.10.2015 № 45 «О некоторых вопросах, связанных с введением в действие процедур, применяемых в делах о несостоятельности (банкротстве) граждан», постановлением Конституционного суда Российской Федерации от 26.04.2021 № 15-П, судебной практикой, признал не подлежащим защите прав должника.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Абахову В.Е.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