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внешний управляющий Блинник Семён Борисович обратился в суд с заявлением о признании недействительными сделок по начислению и выплате заместителю генерального директора должника по реализации и развитию – коммерческому директору Лукьянову А.Л. в период с апреля 2015 года по декабрь 2016 года 1 545 358 рублей в качестве квартального и годового премирования; применении последствий недействительности сделок в виде взыскания с Лукьянова А.Л. в конкурсную массу должника 1 545 358 рублей. Определением Арбитражного суда ярославской области от 30.12.2020, оставленным без изменения постановлениями Второго арбитражного апелляционного суда от 16.04.2021 и Арбитражного суда Волго-Вятского округа от 06.08.2021,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167 Гражданского кодекса Российской Федерации, статьями 2, 19, пунктом 2 статьи 61.2 Федерального закона от 26.10.2002 № 127-ФЗ «О несостоятельности (банкротстве)», признали недействительными сделками начисление и выплату премий входящему в аппарат управления должником заявителю, осведомлённому о неплатёжеспособности должника и цели причинения вреда имущественным правам кредиторов, лишившихся в результате подобного премирования возможности получить наиболее полное удовлетворение своих требовании за счёт выплаченных денежных средств.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Лукьянову Алексею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