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10.11.2021 с ходатайством о восстановлении срока. Ананикян В.П. указывает, что не мог подать жалобу в установленный срок по объективным причинам.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жалобой, в том числе в связи с отсутствием у него сведений об обжалуемом судебном акте, по ходатайству указанного лица может быть восстановлен судьей,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Арбитражного процессуального кодекса Российской Федерации при подаче ходатайства за пределами шестимесячного срока восстановление срока на обжалование судебных актов не допускается. 2 Заявитель подал ходатайство за пределами названного срока, поэтому срок восстановлению не подлежит.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Ананикяну Ванику Паруйровичу в восстановлении срока подачи кассационной жалобы на определение Арбитражного суда города Москвы от 04.08.2020, постановление Девятого арбитражного апелляционного суда от 21.10.2020 и постановление Арбитражного суда Московского округа от 22.04.2021 по делу № А40-64034/2019. Возвратить Ананикяну Ванику Паруйровичу кассационную жалобу. Возвратить Ананикяну Ванику Паруйровичу из федерального бюджета 3 000 (три тысячи) рублей государственной пошлины, уплаченной за подачу кассационной жалобы по чеку-ордеру от 09.11.2021 ПАО Сбербанк 9038/1436 (операция 11).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