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пересмотре по новым или вновь открывшимся обстоятельствам определения Арбитражного суда Омской области от 14.11.2019 о признании частично обоснованным и включении в четвёртую очередь реестра требований кредиторов должника его требования в размере 15 294 470 рублей 70 копеек, обеспеченного залогом имущества должника. Определением Арбитражного суда Омской области от 24.05.2021, оставленным без изменения постановлениями Восьмого арбитражного апелляционного суда от 29.06.2021 и Арбитражного суда Западно-Сибирского округа от 19.08.2021, заявление возвращено. В кассационной жалобе, поданной в Верховный Суд Российской Федерации, заявитель просит отменить названные судебные акты и направить заявление в суд первой инстанции для рассмотрения по существу.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заявление и подтверждая законность такого возврата, суды, руководствуясь статьями 309, 311, Арбитражного процессуального кодекса Российской Федерации, разъяснениями, содержащимися в постановлении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исходили из того, что оно не соответствовало требованиям, предъявляемым законом к его форме и содержанию, а новые и вновь открывшиеся обстоятельства применительно к доводам заявителя отсутствовали. Выводы судов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«Ф-Консалтинг»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