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04.09.2019, оставленным без изменения постановлением Шестого арбитражного апелляционного суда от 05.12.2019 и постановлением Арбитражного суда Дальневосточного округа от 24.03.2020, исковое требование удовлетворено. Определением Арбитражного суда Хабаровского края от 24.07.2020 обществу предоставлена рассрочка исполнения решения на срок с 24.07.2020 по 30.08.2022 с ежемесячными платежами по 3 500 000 рублей. Общество повторно обратилось в Арбитражный суд Хабаровского края с заявлением о предоставлении рассрочки исполнения решения от 04.09.2019. Определением Арбитражного суда Хабаровского края от 19.02.2021, оставленным без изменения постановлением Шестого арбитражного апелляционного суда от 03.06.2021 и постановлением Арбитражного суда Дальневосточного округа от 29.07.2021, заявление удовлетворено, обществу предоставлена рассрочка исполнения решения суда, всего 83 051 158 рублей 2 65 копеек: с 31.03.2021 по 29.02.2028, исходя из графика погашения основного долга ежемесячно - 1 000 000 рублей, с 01.03.2028 до 31.03.2028 - 51 158 рублей 65 копеек. В кассационной жалобе, поданной в Верховный Суд Российской Федерации, министерство, ссылаясь на существенное нарушение судами норм права, просит отменить судебные акты, в рассрочке исполнения решения суда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Удовлетворяя заявление, суд первой инстанции, оценив имеющиеся в материалах дела доказательства, руководствуясь положениями статей 16, 324 Арбитражного процессуального кодекса Российской Федерации, статьи 37 Федерального закона от 02.10.2007 № 229-ФЗ «Об исполнительном производстве», разъяснениями, изложенными в пункте 25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позицией, приведенной в Обзоре судебной практики Верховного Суда Российской Федерации № 1 (2018), утвержденном Президиумом Верховного Суда РФ 28.03.2018, пришел к выводу о том, что общество не имеет возможности единовременно исполнить требования судебного акта ввиду тяжелого финансового положения, что свидетельствует о необходимости предоставления рассрочки исполнения судебного акта. Суд исходил из того, что размер задолженности является значительным, общество принимало меры по исполнению судебного акта, отметив необходимость в данном случае соблюдения баланса интересов сторон и принципа разумности; признаков злоупотребления правом в поведении ответчика судом не установлено. Суды апелляционной инстанции и округа поддержали выводы суда первой инстанции. Доводы, изложенные в кассационной жалобе, в том числе о том, что предоставление рассрочки исполнения влечет для министерства существенные 3 убытки,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дела,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