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обратилась в суд с заявлением об увеличении фиксированной суммы вознаграждения до 78 052 рублей 50 копеек в месяц начиная с 01.01.2020. Определением Арбитражного суда Приморского края от 10.02.2021, оставленным без изменения постановлениями Пятого арбитражного апелляционного суда от 26.05.2021 и Арбитражного суда Дальневосточного округа от 16.08.2021,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Отказывая в заявлении, суды, руководствуясь статьями 20.6, 59, 129 Федерального закона от 26.10.2002 № 127-ФЗ «О несостоятельности (банкротстве)», пришли к обоснованному выводу об отсутствии оснований для увеличения фиксированной суммы вознаграждения конкурсного управляющего, правомерно отказав в удовлетворении заявления.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жалобы, ранее являвшихся предметом рассмотрения судебных инстанций и получивших надлежащую правовую оценку,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акционерным обществом «Владрыбснаб» Коленко Оксане Александровне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