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ФНС России в лице Инспекции Федеральной налоговой службы России № 3 (далее – уполномоченный орган) обратилась в суд с заявлением о признании недействительной цепочки сделок должника: решения от 26.03.2015 № 1 об учреждении обществу с ограниченной ответственностью «Максофф» (далее – общество «Максофф») и внесении в уставной капитал вновь созданного общества недвижимого имущества с кадастровым номером 77:07:0004009:2124; передачу нежилого помещения, расположенного по адресу г. Москва ул. Горбунова д. 2 стр. 204, кадастровый номер 77:07:0004009:2124 (далее – нежилое помещение), стоимостью 31 173 249 рублей в уставный капитал общества «Максофф»; передачу 100% доли уставного капитала общества «Максофф» в пользу Барковой Л.В., просила о применении последствий недействительности сделок. Определением Арбитражного суда города Москвы от 24.09.2019, оставленным без изменения постановлением Девятого арбитражного апелляционного суда от 10.12.2019, отказано в удовлетворении заявления. 2 Постановлением Арбитражного суда Московского округа от 20.02.2020 отменены определение суда первой инстанции от 24.09.2019 и постановление апелляционного суда от 10.12.2019,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24.12.2020, оставленным без изменения постановлениями Девятого арбитражного апелляционного суда от 29.03.2021 и Арбитражного суда Московского округа от 20.07.2021, заявление удовлетворено, применены последствия недействительности сделок в виде обязания компании возвратить в конкурсную массу должника нежилое помещение, восстановить право собственности должника на недвижимое имущество. В кассационной жалобе, поданной в Верховный Суд Российской Федерации, заявитель просит отменить указанное определение суда первой инстанции, направить обособленный спор на новое рассмотрение в суд первой инстанции. Исходя из содержания настоящей жалобы, заявитель также не согласен с постановлениями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 и пункта 2 статьи 61.2 Федерального закона от 26.10.2002 № 127-ФЗ «О несостоятельности (банкротстве)», установив совершение оспариваемой цепочки сделок заинтересованными лицами с противоправной целью в пределах периода подозрительности при наличии у должника задолженности по уплате обязательных платежей, пришли к выводу об обоснованности заявления, указав на следствие сделок – причинение вреда имущественным правам уполномоченного органа, правомерно применив последствия недействительности. Выводы судов соответствуют нормам права, оснований для переоценки выводов судов не имеется. Нарушений норм материального права, а также норм 3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«Мериланд Лимитед»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