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Титова Лариса Николаевна обратилась в суд с заявлением о разрешении разногласий, возникших между ней, обществами с ограниченной ответственностью «Риверс» (залоговый кредитор) и «Грейт» (конкурсный кредитор) о порядке завершения повторных торгов (аукцион № 57849 от 08.05.2020), определив заключить договор купли – продажи залогового имущества должника с последующим участником торгов, которым предложена наиболее высокая цена лота № 1, по сравнению с ценой, предложенной другими участниками торгов, за исключением победителя торгов. Определением Арбитражного суда города Москвы от 22.09.2020, оставленным без изменения постановлениями Девятого арбитражного апелляционного суда от 26.11.2020 и Арбитражного суда Московского округа от 15.07.2021, разногласия разрешены в пользу конкурсного управляющего.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разногласия сторон, суды, руководствуясь статьями 60, 110, 138 Федерального закона от 26.10.2002 № 127-ФЗ «О несостоятельности (банкротстве)», абзацем пятым пункта 9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исходили из того, что предложенный конкурсным управляющим вариант завершения торгов обеспечит баланс интересов всех участников, а не только залогового кредитора; не приведёт к нарушению прав и охраняемых законом интересов должника, его кредиторов и заявителя.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«АльфаСервис»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