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12.04.2021, оставленным без изменения постановлением Седьмого арбитражного апелляционного суда от 18.06.2021 и постановлением Арбитражного суда Западно-Сибирского округа от 14.09.2021, в удовлетворении заявления отказано. В кассационной жалобе, поданной в Верховный Суд Российской Федерации, общество просит отменить судебные акты, ссылаясь на существенное нарушение норм права и удовлетворить заявленное требование.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обществом 22.03.2019 в инспекцию представлена налоговая декларация по налогу, уплачиваемому в связи с применением упрощенной системы налогообложения (далее - УСН) за 2018 год, в которой налоговым органом выявлены ошибки и (или) противоречия между сведениями, содержащимися в документах. Указанные обстоятельства послужили основанием для направления налогоплательщику требования от 20.06.2019 № 3282 о представлении пояснений или внесении соответствующих исправлений в установленный срок. Указанное требование получено обществом 01.07.2019. По результатам проверки соблюдения обществом законодательства Российской Федерации о налогах и сборах инспекцией обнаружен факт непредставления сведений в рамках выставленного обществу требования, о чем 22.07.2019 составлен акт № 4491 и принято решение от 12.09.2019 № 508 о привлечении общества к ответственности, предусмотренной пунктом 1 статьи 129.1 Налогового кодекса Российской Федерации (далее - Налоговый кодекс) в виде штрафа в размере 5 000 рублей. Не согласившись с решением налогового органа, общество обратилось в арбитражный суд. Оценив представленные в материалы дела доказательства, суды, руководствуясь положениями Налогового кодекса, пришли к выводу, что решение инспекции соответствует действующему законодательству и не нарушает права и законные интересы заявителя, с чем согласился суд округа. 3 Судебные инстанции исходили из того, что требование налогового органа содержит необходимые сведения, позволяющие адресату индивидуализировать истребованные налоговым органом документы, доказательств невозможности предоставления истребованной информации в материалы дела не представлено. Кроме того, суды отметили, что налоговое законодательство не предусматривает оснований для оставления требования налогового органа без исполнения в случае, когда такое требование направляется налогоплательщику в последние дни камеральной налоговой проверки. Доводы заявителя,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дела, основаны на ином толковании норм налогового законодательства,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«Технический проезд»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