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08.02.2021, оставленными без изменения постановлениями Девятого арбитражного апелляционного суда от 20.04.2021 и Арбитражного суда Московского округа от 27.08.2021, в удовлетворении заявленных требований оказано. 2 В жалобе предприниматель ставит вопрос об отмене принятых по делу судебных актов, ссылаясь на существенное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предприниматель являлся победителем электронных аукционов на право заключения договоров купли-продажи нежилых помещений (машино-мест). В связи с тем, что подписание договоров купли-продажи имущества с предпринимателем в «личном кабинете» в установленные сроки не осуществлено, предприниматель признан уклонившимся от заключения договоров купли-продажи. Посчитав данные решения, изложенные в протоколах, незаконными, предприниматель обратился в арбитражный суд. Отказывая в удовлетворении заявления, суд первой инстанции указал, что заявителем избран ненадлежащий способ защиты права. При этом суд апелляционной инстанции, исследовав и оценив представленные в материалы дела доказательства, руководствуясь положениями Гражданского кодекса Российской Федерации,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27.08.2012 № 860, Положением об Автоматизированной информационной системе города Москвы «Управление инвестиционной деятельностью», утвержденным постановлением Правительства Москвы от 01.09.2015 № 557-ПП, установил, что подписание договоров купли-продажи имущества в установленные сроки предпринимателем не осуществлено, в связи с чем пришел к выводу о правомерном признании предпринимателя уклонившимся от заключения договоров купли-продажи имущества. Суд округа поддержал указанный вывод суда апелляционной инстанции, дополнительно сославшись на Единые требования к проведению торгов по продаже имущества, принадлежащего на праве собственности городу Москве, торгов на право заключения договоров аренды и иных договоров, 3 предусматривающих переход прав в отношении имущества, принадлежащего на праве собственности городу Москве, утвержденные постановлением Правительства Москвы от 28.06.2016 № 371-ПП, Приказ Департамента города Москвы по конкурентной политике, Департамента городского имущества города Москвы, Департамента культурного наследия города Москвы от 27.12.2016 № 70-01-170/16/362/1078 «Об утверждении типовых форм документации по проведению земельно-имущественных торгов в городе Москве», признал неправомерной позицию заявителя по вопросу об исчислении и применении рассматриваемых сроков. Доводы кассационной жалобы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Богданову Андрею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