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29.06.2020 в удовлетворении заявленного требования отказано. Постановлением Десятого арбитражного апелляционного суда от 17.02.2021 производство по апелляционным жалобам Буравченко С.А., 2 Ершовой И.А., Голубевой И.А. прекращено, решение суда первой инстанции оставлено без изменения. Постановлением Арбитражного суда Московского округа от 22.07.2021 указанные судебные акты оставлены без изменения. Общество просит отменить обжалуемые судебные акты, заявленные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169, 171, 172 Налогового кодекса Российской Федерации, с учетом разъяснений Пленума Высшего Арбитражного Суда Российской Федерации, изложенных в постановлении от 12.10.2006 № 53 «Об оценке арбитражными судами обоснованности получения налогоплательщиком налоговой выгоды», суды отказали в удовлетворении требований, признав, что обществом создан формальный документооборот по взаимоотношениям, связанным с поставкой товаров. 3 Приведенные в жалобе доводы направлены на переоценку доказательств и установление иных фактических обстоятельств по делу, что не относится к компетенции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