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15.03.2021, оставленным без изменения постановлением Девятого арбитражного апелляционного суда от 18.05.2021, в иске отказано. Постановлением Арбитражного суда Московского округа от 12.08.2021 указанные судебные акты оставлены без изменения. Общество просит обжалуемые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судами установлено, что вышеназванная сделка не может быть признана заключенной от имени общества, в отсутствие доказательств отнесения на общество риска неблагоприятных последствий данной сделки, чем в рассматриваемом случае нарушены права и законные интересы общества и какой защите они подлежат, в жалобе не указано. С учетом изложенного приведенные заявителем доводы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ООО "НЕОПЛАСТ" (подробнее) Ответчики: ПАО РОСБАНК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