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Воронцов Антон Александрович обратился в суд с заявлением о взыскании с арбитражного управляющего Вайсберга А.П. 327 550 000 рублей убытков. Определением Арбитражного суда Омской области от 24.12.2020, оставленным без изменения постановлениями Восьмого арбитражного апелляционного суда от 22.03.2021 и Арбитражного суда Западно-Сибирского округа от 21.07.2021, заявление удовлетворено частично, с Вайсберга А.П. в конкурсную массу должника взыскано 103 518 713 рублей 12 копеек. В кассационных жалобах, поданных в Верховный Суд Российской Федерации, заявители просят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статьи 15 Гражданского кодекс Российской Федерации, статей 20.3, 20.4 и 129 Федерального закона от 26.10.2002 № 127-ФЗ «О несостоятельности (банкротстве)», установив причинно-следственную связь между действиями (бездействием) Вайсберга А.П. и возникновением убытков на стороне должника в указанном размере, пришли к выводу об обоснованности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 с ограниченной ответственностью «Страховая компания «Арсеналъ» и арбитражного управляющего Вайсберга Александра Петровича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