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недействительной сделки по перечислению 05.04.2016 должником обществу 1 600 000 рублей, применении последствий недействительности сделки в виде взыскания с общества в пользу должника названной суммы денежных средств. Определением Арбитражного суда Тульской области от 16.12.2020, оставленным без изменения постановлениями Двадцатого арбитражного апелляционного суда от 18.05.2021 и Арбитражного суда Центрального округа от 19.08.2021,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Тульской области.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 Федерального закона от 26.10.2002 № 127-ФЗ «О несостоятельности (банкротстве)», установив, что оспариваемые платежи по досрочному возврату заинтересованному лицу денежных средств совершены при наличии у должника неисполненных денежных обязательств и причинили вред имущественным правам кредиторов, удовлетворили заявление конкурсного управляющего.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«Декфа»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"Реалит -Юг" (подробнее) ООО "Техинвест" (подробнее) ООО "Торговый дом "Алкотек" (подробнее) Ответчики: ООО к/у "Фасады" Цыбырны Д.В. (подробнее) ООО "Фасады" (подробнее) Иные лица: АО "РСК" (подробнее) Ассоциация "РСОПАУ" (подробнее) ООО "Билдэкс" (подробнее) ООО "Декфа" (подробнее) Управление Федеральной налоговой службы по Тульской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