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26.02.2021, оставленным без изменения постановлением Пятнадцатого арбитражного апелляционного суда от 07.05.2021, в иске отказано. Постановлением Арбитражного суда Северо-Кавказского округа от 11.08.2021 указанные судебные акты оставлены без изменения. Предприниматель просит отменить обжалуемые судебные акты, считая их принятыми с существенным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Оценив представленные доказательства, руководствуясь положениями статей 927, 929, 931, 942, 943, 1064, 1079 Гражданского кодекса Российской Федерации, статей 1, 4, 12 Федерального закона от 25.04.2002 № 40-ФЗ «Об обязательном страховании гражданской ответственности владельцев транспортных средств», суды отказали в удовлетворении исковых требований, придя к выводу о надлежащем исполнении ответчиком своих обязательств по 3 заключенному с истцом договору страхования и недоказанности предпринимателем размера ущерба, причиненного страховым случаем. Доводы кассационной жалобы предпринимателя относительно невозможности определения износа крано-манипуляторной установки не опровергают выводы судов и сводятся к переоценке установленных судами фактических обстоятельств, что не входит в полномочия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