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02.02.2021, оставленным без изменения постановлениями Семнадцатого арбитражного апелляционного суда от 14.04.2021 и Арбитражного суда Уральского округа от 23.07.2021, заявленные требования удовлетворены. 2 В кассационной жалобе администрация ставит вопрос об отмене принятых по делу судебных актов, ссылаясь на существенное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прокуратурой при проведении проверки соблюдения законодательства о налогах и сборах установлен факт бездействия администрации, выразившийся в непринятии мер по разработке и утверждению правового акта, регламентирующего предоставление муниципальной услуги по даче письменных разъяснений налогоплательщикам по вопросам применения нормативных правовых актов муниципального образования о местных налогах и сборах, предусмотренного статьями 21, 34.2 Налогового кодекса. Полагая, что бездействие администрации является незаконным, прокуратура обратилась в арбитражный суд. Исследовав и оценив представленные в материалы дела доказательства, суды, руководствуясь положениями статей 21, 34.2 Налогового кодекса, статей 2, 6 Федерального закона от 27.07.2010 № 210-ФЗ «Об организации предоставления государственных и муниципальных услуг», статей 15, 16, 19 Федерального закона от 06.10.2003 № 131-ФЗ «Об общих принципах организации местного самоуправления в Российской Федерации»,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принимая во внимание положения Устава Чернушинского городского округа, утвержденного решением Думы Чернушинского городского округа от 26.11.2019 № 49, пришли к выводу, что бездействие администрации, выразившееся в непринятии соответствующего правового акта, влечет неопределенность в деятельности финансового органа по предоставлению данной муниципальной услуги, нарушает права и законные интересы неопределенного круга лиц, в том числе субъектов предпринимательской деятельности. 3 При таких обстоятельствах суд удовлетворил заявленные требования, возложив на администрацию обязанность устранить нарушения законодательства. Доводы, изложенные в кассационной жалобе, в том числе об отсутствии у органа местного самоуправления полномочий по разработке и утверждению спорного правового акта, являлись предметом рассмотрения судов и получили надлежащую правовую оценку. По существу доводы жалобы не свидетельствуют о существенных нарушениях норм материального и процессуального права, повлиявших на исход дела, выражают несогласие с выводами судов по фактическим обстоятельствам спора и основаны на ином толковании положений закона, что не может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Чернушинского городского округа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