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11.02.2021, оставленным без изменения постановлением Тринадцатого арбитражного апелляционного суда от 11.05.2021 и постановлением Арбитражного суда Северо-Западного округа от 07.09.2021, в удовлетворении заявленных требований отказано. Общество обратилось в Верховный Суд Российской Федерации с кассационной жалобой, в которой, считая незаконными принятые судебные акты, просит их отменить.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послужили выводы административного органа о нарушении обществом требований промышленной безопасности опасных производственных объектов (не проведена экспертиза промышленной безопасности внутриквартальных трубопроводов тепловых сетей от источника теплоснабжения ТЭЦ-5 филиала Невский ПАО «ТГК-1» в связи с истечением срока службы данного участка трубопровода, находящегося на балансе 3 общества; участок трубопровода не зарегистрирован в реестре опасных производственных объектов). Частью 1 статьи 9.1 КоАП РФ предусмотрена ответственность за нарушение требований промышленной безопасности или условий лицензий на осуществление видов деятельности в области промышленной безопасности опасных производственных объектов. Оценив представленные доказательства, руководствуясь положениями Федерального закона от 21.07.1997 № 116-ФЗ «О промышленной безопасности опасных производственных объектов», Требований к регистрации объектов в государственном реестре опасных производственных объектов, утвержденных приказом Ростехнадзора от 25.11.2016 № 495, Правил промышленной безопасности опасных производственных объектов, на которых используется оборудование, работающее под избыточным давлением, утвержденных приказом Ростехнадзора от 25.03.2014 № 116, суды пришли к выводу о наличии в действиях общества состава правонарушения, ответственность за совершение которого предусмотрена частью 1 статьи 9.1 КоАП РФ. Процедура и срок давности привлечения к ответственности соблюдены, оснований для признания правонарушения малозначительным судами не установлено. Доводы жалобы о том, что сети, эксплуатируемые обществом, не являются опасным производственным объектом были предметом рассмотрения судов и получили исчерпывающую правовую оценку применительно к установленным обстоятельствам, не согласиться с которой оснований не имеется. Приведенные в жалобе доводы, по сути направлены на переоценку представленных по делу доказательств, не свидетельствуют о наличии существенных нарушений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4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