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решением суда первой инстанции от 18.12.2020, оставленным без изменения постановлениями Девятого арбитражного апелляционного суда от 25.03.2021 и Арбитражного суда Московского округа от 20.07.2021, в удовлетворении заявления отказано. В кассационной жалобе общество ставит вопрос об отмене принятых по делу судебных актов, ссылаясь на существенное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официальном сайте Росздравнадзора опубликованы письма о выявлении в обращении медицинских изделий с истекшим сроком годности (службы); о выявлении в обращении варианта исполнения медицинского изделия, сведения о котором отсутствуют в Государственном реестре медицинских изделий и организаций (индивидуальных предпринимателей), осуществляющих производство и изготовление медицинских изделий (незарегистрированного медицинского изделия). Общество, полагая, что действиями Росздравнадзора нарушаются его права и законные интересы, связанные с экономической деятельностью, указывая, что последствием изъятия товара из обращения является невозможность дальнейшей реализации товара и его использования (оборота), обратилось в арбитражный суд. Исследовав и оценив представленные в материалы дела доказательства, руководствуясь положениями Федерального закона от 21.11.2011 № 323-ФЗ «Об основах охраны здоровья граждан в Российской Федерации», Положением о Федеральной службе по надзору в сфере здравоохранения, утвержденным постановлением Правительства Российской Федерации от 30.06.2004 № 323, Правилами ведения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изделий, утвержденными постановлением Правительства Российской Федерации от 19.06.2012 № 615, суды пришли к выводу об отсутствии оснований для удовлетворения заявления общества. 3 Судебные инстанции исходили из того, что избранный обществом способ защиты не приводит к восстановлению его субъективных прав, а материальный интерес общества носит абстрактный характер, так как отсутствует определенность в сфере правовых интересов общества, устранение которой возможно в случае удовлетворения заявленных требований. При этом при исследовании обстоятельств дела установлено, что Росздравнадзором не принимались решения об изъятии из обращения спорных медицинских изделий, в связи с чем суды признали, что действия по изданию информационных писем не являются действиями по изъятию из обращения медицинских изделий. Кроме того, суды отметили, что в ходе мониторинга безопасности медицинских изделий Росздравнадзором правомерно выявлены в обращении медицинские изделия с истекшим сроком годности, не соответствующие требованиям эксплуатационной документации, разработанной производителями медицинских изделий. Учитывая изложенное, приведенные в кассационной жалобе доводы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в связи с чем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«НПФ «Костромская Медтехника-Сервис»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