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 решением суда первой инстанции от 09.03.2021, оставленным без изменения постановлениями Семнадцатого арбитражного апелляционного суда от 20.05.2021 и Арбитражного суда Уральского округа от 30.07.2021, в удовлетворении заявленных требований отказано. В кассационной жалобе общество ставит вопрос об отмене принятых по делу судебных актов, ссылаясь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включено в перечень организаций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утвержденный постановлением администрации от 08.08.2019 № 2295. Постановлением администрации от 21.05.2020 № 01-02-655 общество определено в качестве управляющей организации для управления многоквартирными домами, расположенными на территории муниципального образования «город Березники», в отношении которых собственниками помещений многоквартирного дома не выбран способ управления таким домом или выбранный способ не реализован, не определена управляющая организация. Данным постановлением утверждены Перечень многоквартирных домов, в отношении которых общество определено в качестве управляющей организации (7 многоквартирных домов), Перечни работ и услуг по управлению многоквартирными домами, работ и услуг по содержанию и ремонту общего имущества в отношении каждого из многоквартирных домов. На основании указанного постановления инспекцией вынесено оспариваемое решение о внесении изменений в реестр лицензий Пермского края, в соответствии с которым с 01.07.2020 в перечень многоквартирных домов, деятельность по управлению которыми осуществляет общество, внесены сведения о спорных многоквартирных домах. Отказывая в удовлетворении заявления, суды, исследовав и оценив представленные в материалы дела доказательства, руководствуясь 3 положениями статей 161, 200 Жилищного кодекса Российской Федерации, Правилами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утвержденными постановлением Правительства Российской Федерации от 21.12.2018 № 1616, пришли к выводу об отсутствии совокупности оснований для признания оспариваемого ненормативного правового акта инспекции недействительным. Судебные инстанции исходили из того, что спорные сведения внесены в реестр на основании распорядительного документа органа местного самоуправления, изданного в пределах имеющихся полномочий. При этом суды указали, что внесение изменений в реестр лицензий субъекта Российской Федерации на основании решения органа местного самоуправления об определении управляющих организаций производится без заявления лицензиата. Доводы, изложенные в кассационной жалобе, являлись предметом рассмотрения судов и получили надлежащую правовую оценку,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«Наш город»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