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и товарищество подают кассационные жалобы на указанные судебные акты, одновременно ходатайствуя об отсрочке уплаты государственной пошлины за подачу жалобы. Неуплату государственной пошлины заявители обосновывают тем, что их имущественное положение не позволяет уплатить государственную пошлину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арбитражные суды, исходя из имущественного положения 2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В постановлении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(заявления), апелляционной или кассационной жалобы.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Арбитражный суд не может по своему усмотрению отказывать в отсрочке или рассрочке уплаты государственной пошлины и уменьшении ее размера, если имеются объективные основания для удовлетворения ходатайства. Установив наличие объективных оснований, судья приходит к выводу о предоставлении заявителям отсрочки уплаты госпошлины. Руководствуясь статьями 102, 184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 отсрочке уплаты государственной пошлины удовлетворить. Предоставить обществу с ограниченной ответственностью Управляющая компания «Спарта» и товариществу собственников недвижимости «ТСЖ Белая стрела» отсрочку уплаты государственной пошлины сроком до окончания производства по настоящим кассационным жалобам. Судья Верховного Суда Российской Федерации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