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Тамбовской области от 31.03.2021, оставленным без изменения постановлением Девятнадцатого арбитражного апелляционного суда от 28.06.2021 и постановлением Арбитражного суда Центрального округа от 09.09.2021, в удовлетворении заявления отказано. В кассационной жалобе Прохоренко Е.В. просит об отмене судебных актов, ссылаясь на отсутствие у залогового кредитора права на изменение законного порядка реализации имущества находящихся в банкротстве супругов.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обособленного спора и, применив к ним статьи 138, 139 Федерального закона от 26.10.2002 № 127-ФЗ «О несостоятельности (банкротстве)», статьи 448, 449 Гражданского кодекса Российской Федерации и их судебное толкование и установив назначение и использование реализуемого имущества, неоспорение определенного залоговым кредитором порядка продажи имущества, отсутствие нарушения прав должника и кредиторов и процедуры торгов, признали доводы должника неосновательными. При этом судами учтено, что реализация одним лотом общего имущества супругов, в отношении которых возбуждены дела о банкротстве и назначен один финансовый управляющий, позволила без увеличения расходов на проведение торгов оперативно рассчитаться с кредиторами, не допустив нарушения их прав и законных интересов.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Прохоренко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