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20.02.2021 общество привлечено к административной ответственности по части 1 статьи 14.47 Кодекса Российской Федерации об административных правонарушения и ему назначено наказание в виде штрафа в размере 400 000 рублей. Постановлением Девятого арбитражного апелляционного суда от 26.04.2021 решение суда первой инстанции отменено, в удовлетворении требований отказано. 2 Постановлением Арбитражного суда Московского округа от 05.08.2021 постановление суда апелляционной инстанции оставлено без изменения. Административный орган просит обжалуемые судебные акты отменить,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апелляционной инстанции отменил решение суда первой инстанции, отказал в удовлетворении заявления, признав, что административным органом нарушена процедура привлечения к административной ответственности, поскольку представитель общества, действующий на основании надлежащей доверенности, был необоснованно не допущен к участию в составлении протокола об административном правонарушении. Суд округа согласился с выводами суда апелляционной инстанции. При этом суды исходили из того, что необоснованное недопущение к участию в составлении протокола об административном правонарушении повлекло существенное нарушение процессуальных требований, установленных Кодексом Российской Федерации об административных 3 правонарушениях, прав и законных интересов общества, так как лицо, привлекаемое к административной ответственности, было лишено предоставленных ему гарантий и не могло в полной мере воспользоваться своими процессуальными правами.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