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17.12.2020, оставленным без изменения постановлением Девятого арбитражного апелляционного суда от 01.03.2021, в удовлетворении заявления отказано. 2 Постановлением Суда по интеллектуальным правам от 26.07.2021 указанные судебные акты оставлены без изменения. Общество просит обжалуемые судебные акты отменить,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в удовлетворении требований отказали, установив, что по результатам обращения общества органом внутренних дел 21.10.2020 в отношении третьего лица было вынесено определение о возбуждении дела об административном правонарушении и проведении административного расследования по части 1 статьи 14.10 Кодекса Российской Федерации об административных правонарушениях. При этом доводов о том, что общество лишено возможности обратиться в суд за защитой нарушенных прав с учетом разъяснений, изложенных в пункте 3.1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правонарушениях», в жалобе не приведено. 3 При установленных обстоятельствах,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