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15.02.2021, оставленным без изменения постановлением Первого арбитражного 2 апелляционного суда от 08.04.2021, в удовлетворении заявленных требований отказано. Постановлением Арбитражного суда Волго-Вятского округа от 22.07.2021 указанные судебные акты оставлены без изменения. Общество в кассационной жалобе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2 статьи 14.1.3 Кодекса Российской Федерации об административных правонарушениях предусмотрена административная ответственность за осуществление предпринимательской деятельности по управлению многоквартирными домами с нарушением лицензионных требований, за исключением случаев, предусмотренных статьей 13.19.2 настоящего Кодекса. Оценив представленные доказательства, руководствуясь положениями статей 161, 162 Жилищного кодекса Российской Федерации, Правил содержания общего имущества в МКД, утвержденных постановлением Правительства Российской Федерации от 13.08.2006 № 491, Минимальным перечнем услуг и работ, необходимых для обеспечения надлежащего содержания общего имущества в многоквартирном доме, и порядке их оказания и выполнения, утвержденным постановлением Правительства РФ от 03.04.2013 № 290, Правил и норм технической эксплуатации жилищного фонда, утвержденных постановлением Государственного комитета Российской Федерации по строительству и жилищно-коммунальному комплексу от 27.09.2003 № 170, суды пришли к выводу о наличии в действиях общества состава правонарушения, ответственность за совершение которого предусмотрена частью 2 статьи 14.1.3 Кодекса Российской Федерации об административных правонарушениях, установив нарушение лицензионных 3 требований при управлении многоквартирными домами, выразившееся в ненадлежащем содержании их общего имущества. Вина общества установлена, процедура и срок давности привлечения к ответственности соблюдены. Оснований для применения статьи 2.9 Кодекса Российской Федерации об административных правонарушениях не выявлено. Доводы жалобы получили исчерпывающую правовую оценку в обжалуемых судебных актах с учетом характера выявленных нарушений, в том числе отсутствия полотна металлической входной двери со стороны главного фасада, установки фанеры в оконных проемах мест общего пользования первого этажа, отсутствия жалюзийных решеток слуховых окон, не согласиться с которой оснований не имеется. Наказание в виде административного штрафа в размере 148 000 рублей признано судами соответствующим характеру и обстоятельствам совершения административного правонарушения. Существенных нарушений судами норм материального права, а также требований процессуального законодательства, повлиявших на исход судебного разбирательства, по доводам жалобы не установлено.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