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№ 307-ЭС21-19150 принято 20.10.2021. Однако в тексте определения ошибочно указана дата 20.09.2021. В соответствии с частью 3 статьи 179 Арбитражного процессуального кодекса Российской Федерации арбитражный суд, принявший решение, по своей инициативе вправе исправить допущенные в решении описки, опечатки и арифметические ошибки без изменения его содержания. Руководствуясь статьей 184, частью 3 статьи 179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описку в определении № 307-ЭС21-19150, указав дату принятия определения – 20.10.2021. Судья Верховного Суда М.В. Пронина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