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14.12.2020, оставленным без изменения постановлением Девятого арбитражного апелляционного суда от 18.03.2021 и постановлением Арбитражного суда Московского округа от 15.06.2021,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По результатам изучения материалов дела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установлено судами, инспекцией проведена выездная налоговая проверка общества за период 01.01.2014 по 31.12.2016, по результатам составлен акт от 29.10.2018 № 13/900 и вынесено решение от 04.06.2019 № 13/900 о привлечении к ответственности за совершение налогового правонарушения, которым доначислено 83 353 200 рублей налога на прибыль организаций и налога на добавленную стоимость, 28 528 677 рублей пени, 17 908 654 рубля штрафных санкций, а также уменьшен убыток по налогу на прибыль организаций за 2015 - 2016 на сумму 52 285 025 рублей. Основанием для доначисления налогов послужил вывод налогового органа о направленности действий общества на получение необоснованной налоговой выгоды путем привлечения контрагентов ООО «Полифлок» и ООО «ХимТрейдинг» для осуществления хозяйственной деятельности, связанной с приобретением товара напрямую от производителя - АО «НПП «Алтайспецпродукт». Решением Управления Федеральной налоговой службы по городу Москве от 27.04.2020 № 21-10/075568 решение инспекции оставлено без изменения. Не согласившись с решением инспекции, общество обратилось в арбитражный суд. Рассматривая спор, суды трех инстанций, руководствуясь положениями Налогового кодекса Российской Федерации (далее - Налоговый кодекс), разъяснениями, содержащимися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(далее - постановление Пленума № 53), пришли к выводу о законности решения инспекции. Судебные инстанции указали, что представленные обществом документы не отвечают установленным требованиям, содержат недостоверные сведения и не подтверждают реальности хозяйственных операций с контрагентами, 3 которые не имели возможности поставить товар, в том числе в связи с наличием признаков номинальных организаций, отсутствием необходимых условий для достижения результатов соответствующей экономической и предпринимательской деятельности. Выражая несогласие с выводами судов, общество в кассационной жалобе ссылается на неправильное применение, как налоговым органом, так и судами положений статьи 54.1 Налогового кодекса, выразившееся в отказе в применении «налоговой реконструкции», то есть в определении действительного размера экономически обоснованных расходов общества и их учета в целях налогообложения. Как указывает заявитель, из толкования статьи 54.1 Налогового кодекса следует, что при формальном документообороте с заявленным контрагентом, но при фактическом исполнении обязательства третьим лицом при несоблюдении условий пункта 2 указанной статьи, установлен запрет на получение необоснованной налоговой выгоды налогоплательщиком именно по недостоверным (формальным) документам, что не освобождает налоговые органы от обязанности проверить осуществлялись ли в действительности какие-либо хозяйственные операции под прикрытием формального документооборота, выявить их действительный экономический смысл и определить действительный размер соответствующих налоговых обязательств. Конституционный суд Российской Федерации также придерживается подхода, согласно которому положения налогового законодательства не допускают доначисления сумм в размере большем, чем установлено законом; налоговые органы в ходе мероприятий налогового контроля определяют объем налоговой обязанности исходя из фактических показателей хозяйственной деятельности налогоплательщика (определение от 04.07.2017 № 1440). Следовательно, выявление искажений сведений о фактах хозяйственной жизни предполагает доначисление суммы налога, подлежащей уплате в бюджет, таким образом, как если бы налогоплательщик не злоупотреблял правом. Общество отмечает, что при проведении проверки налоговым органом установлено, что фактически товар приобретался налогоплательщиком непосредственно у производителя - АО «НПП «Алтайспецпродукт», минуя спорных контрагентов; финансово-хозяйственные документы АО «НПП «Алтайспецпродукт», на основании которых возможно произвести расчет расходов и налоговых вычетов по НДС, имеются в материалах налоговой проверки. Соответственно, рассчитанные инспекцией в решении пени и штрафы должны быть скорректированы с учетом уменьшения доначисленных к уплате сумм НДС и налога на прибыль. 4 Кроме того, в обоснование доводов жалобы заявитель ссылается на сложившуюся судебную практику по данному вопросу и разъяснения Федеральной налоговой службы. Приведенные обществом доводы, заслуживают внимания, в связи с чем кассационную жалобу вместе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«Спецхимпром»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