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суда первой инстанции от 19.05.2021, оставленным без изменения постановлениями Девятого арбитражного апелляционного суда от 23.06.2021 и Арбитражного суда Московского округа от 01.09.2021, заявление организации возвращено. В кассационной жалобе организация ставит вопрос об отмене принятых по делу судебных актов,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В обоснование заявления организация указывает, что денежные средства, взысканные с должника по исполнительному листу № 54906/16/77056-ИП, в адрес заявителя не поступали. Возвращая заявление организации, суд первой инстанции, оценив имеющиеся в материалах дела доказательства, руководствуясь положениями статей 27, 29, 128, 197, 329 Арбитражного процессуального кодекса Российской Федерации, Федерального закона от 02.10.2007 № 229-ФЗ «Об исполнительном производстве», правовой позицией, изложенной в постановлении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Обзоре судебной практики Верховного Суда Российской Федерации № 4 (2016), утвержденном Президиумом Верховного Суда Российской Федерации 20.12.2016, установив, что исполнительный лист, на основании которого возбуждено исполнительное производство, выдан судом общей юрисдикции, пришел к выводу об отсутствии у арбитражного суда оснований для рассмотрения поданного организацией заявления. Учитывая изложенное, суд указал, что дела об оспаривании постановлений, действий (бездействия) судебного пристава-исполнителя, принятые, совершенные им в рамках возбужденного исполнительного производства по данному исполнительному документу, подлежат рассмотрению в суде общей юрисдикции. Суды апелляционной инстанции и округа поддержали выводы суда первой инстанции. Доводы, изложенные в кассационной жалобе, являлись предметом рассмотрения судов и получили надлежащую правовую оценку. 3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Саратовской региональной общественной организации «Центр защиты прав потребителей»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