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дело рассмотрено в порядке упрощенного производства по правилам главы 29 Арбитражного процессуального кодекса Российской Федерации. Мотивированным решением Арбитражного суда Приморского края от 25.02.2021, оставленным без изменения постановлениями Пятого арбитражного апелляционного суда от 20.04.2021 и Арбитражного суда Дальневосточного округа от 18.08.2021, исковое требование удовлетворено частично, с общества в пользу учреждения взыскана неустойка в размере 215 рублей 06 копеек. В удовлетворении остальной части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(поставщик) заключен государственный контракт на поставку товара. В обоснование иска учреждение ссылается на несвоевременную поставку товара. Оценив представленные в материалы дела доказательства, суды, руководствуясь положениями статей 309, 310, 329, 330, 454, 513, 516, 526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пункте 38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пункте 26 Обзора судебной практики Верховного Суда Российской Федерации № 2 (2019), утвержденного Президиумом Верховного Суда Российской Федерации 17.07.2019, определениях Судебной коллегии по экономическим спорам Верховного Суда Российской Федерации от 04.12.2018 № 302-ЭС18-10991, от 18.09.2019 № 308-ЭС19-8291, пришли к выводу о наличии оснований для частичного удовлетворения иска. Судебные инстанции исходили из нарушения поставщиком срока поставки товара. Учитывая, что обязательства по поставке товара на дату принятия решения исполнены с просрочкой, суды признали правомерным применение заказчиком ключевой ставки Центрального банка Российской Федерации в размере 6 %, действовавшей в момент прекращения обязательства по поставке товара. Довод заявителя кассационной жалобы о неверном применении учреждением ключевой ставки Центрального банка Российской Федерации при расчете неустойки, являлся предметом рассмотрения судов, получил 3 надлежащую правовую оценку с учетом установленных обстоятельств дела и мотивированно отклонен.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«Владснаб»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