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Дубининой Валентины Андреевны в Арбитражный суд Ханты-Мансийского автономного округа – Югры обратилась должник с заявлением об исключении из конкурсной массы должника ¾ доли в праве собственности на квартиру площадью 213 кв.м, расположенную по адресу: город Москва, улица Авиационная, дом 79, корпус 1, квартира 141. Определением Арбитражного суда Ханты-Мансийского автономного округа – Югры от 30.03.2021 заявление должника удовлетворено. Постановлением Восьмого арбитражного апелляционного суда от 02.06.2021 определение суда первой инстанции отменено, в удовлетворении заявления отказано. Арбитражный суд Западно-Сибирского округа постановлением от 31.08.2021 постановление суда апелляционной инстанции оставил без изменения. Дубинина Валентина Андреевна обратилась в Судебную коллегию Верховного Суда Российской Федерации с кассационной жалобой на 2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и, учитывая размер непогашенных требований конкурсных кредиторов, исходил из отсутствия оснований для распространения исполнительского иммунитета на спорную квартиру (долю) и исключения ее из конкурсной массы, поскольку спорное жилое помещение не является единственным жильем должника, так как в его собственности находится и иное жилое помещение, пригодное для проживания.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Дубининой Валентине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