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18.11.2020 иск общества удовлетворен. Постановлением Восьмого арбитражного апелляционного суда от 09.03.2021 решение суда первой инстанции изменено в части распределения судебных расходов. В остальной части решение суда оставлено без изменения. Арбитражный суд Западно-Сибирского округа постановлением от 13.09.2021 названные судебные акты отменил, дело направил на новое рассмотрение в Арбитражный суд Омской области. 2 В кассационной жалобе общество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приказом комиссии от 22.12.2017 № 597/80 «Об установлении тарифа на перевозку пассажиров автомобильным транспортом по муниципальным маршрутам регулярных перевозок (город Омск), осуществляемую обществом с ограниченной ответственностью «АвтоСила-55» обществу утвержден предельный тариф за одну поездку на период с 01.01.2018 по 31.12.2018. Указывая, что данный приказ комиссии признан недействующим с 01.01.2018 в судебном порядке, а в результате необоснованного занижения регулируемой цены понесены убытки, общество обратилось в арбитражный суд. Удовлетворяя иск общества, суды первой и апелляционной инстанций, приняв во внимание обстоятельства, установленные по результатам рассмотрения дела № 3а-56/2018 (несоответствие тарифного решения, утвержденного приказом от 22.12.2017 № 597/80, требованиям закона), результаты судебной экспертизы, исходили из причинения перевозчику действиями регулирующего органа убытков, подлежащих возмещению субъектом Российской Федерации в лице комиссии, как главного распорядителя бюджетных средств по соответствующей статье расходов. Отменяя принятые по делу судебные акты и направляя дело на новое рассмотрение, суд кассационной инстанции пришел к выводу о том, что при оценке результатов судебной экспертизы судами допущены нарушения норм материального и процессуального права, повлиявшие на исход дела. В частности, суд округа указал, что при разрешении настоящего спора суды правильно квалифицировали сложившиеся между сторонами правоотношения, пришли к верным выводам о причинении обществу убытков принятием комиссией незаконного тарифного решения, применили обоснованный порядок возмещения таких убытков, но при определении их размера допустили 3 нарушения норм права, не дали должной судебной оценки возражениям комиссии относительно достоверности заключения судебного эксперта в части определения размера затрат на ежедневную мойку транспортных средств.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доказательства, обосновывающие свою правовую позицию по делу.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общества о приостановлении исполнения судебных актов остается без рассмотрения.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«АвтоСила-55»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