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Шахов Максим Сергеевич (далее – предприниматель) обратился в суд с заявлением о признании недействительным договора купли-продажи от 13.05.2020 по лоту № 5, заключенного по результатам торгов между ним и должником; применении последствий недействительности сделки. Конкурсный управляющий должником обратилась в суд со встречным заявлением об оставлении требований предпринимателя без удовлетворения, признании состоявшимся перехода права требования по договору гарантийного депозита от 01.10.2014 № 6025-80-14/7_РЮ. Определением Арбитражного суда Республики Коми от 30.03.2021, оставленным без изменения постановлениями Второго арбитражного апелляционного суда от 10.06.2021 и Арбитражного суда Волго-Вятского округа от 06.09.2021, заявление предпринимателя удовлетворено; требования конкурсного управляющего должником оставлены без удовлетворения.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 удовлетворении заявления предпринимателя, удовлетворении встречного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166, 167, 168 Гражданского кодекса Российской Федерации, статьёй 115 Уголовно-процессуального кодекса Российской Федерации, исходили из того, что оспариваемая сделка по продаже предпринимателю находящего под арестом имущества является ничтожной, в связи с чем удовлетворили его заявление, отказав в удовлетворении встречного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«Север-Финанс» Бартош Екатерине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