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 Положения об определении начальной продажной цены предмета залога, о порядке, сроках и условиях реализации залогового имущества должника, опубликованного 11.02.2019 на ЕФРСБ; признании недействительными торгов, состоявшихся 10.04.2019 на электронной площадке htths://rus-on.ru/ (ООО «РУССИА ОнЛайн»), оформленных протоколом № 4800-ОАЗФ/1/2; применении последствий недействительности положения и торгов в виде признания договора о реализации имущества, заключенного по результатам торгов, недействительным и приведения сторон в положение, предшествующее торгам. Определением Арбитражного суда города Москвы от 03.11.2020, оставленным без изменения постановлениями Девятого арбитражного апелляционного суда от 14.05.2021 и Арбитражного суда Московского округа от 19.07.2021,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статьями 110, 138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установив, что в установленный законом срок банк не заявлял о разногласиях по вопросам начальной продажной цены и порядку реализации предмета залога, в отсутствии доказательств нарушения порядка и процедуры состоявшихся торгов, ограничения доступа к участию в них и необоснованного снижения начальной стоимости имущества, а также оснований для признания недействительной заключенной по их результатам сделки,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«Банк профсоюзной солидарности и социальных инвестиций «Солидарность»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