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08.11.2021 обратился в Верховный Суд Российской Федерации с жалобой на определение судьи Верховного Суда Российской Федерации от 25.10.2021 № 305-ЭС21-19388, решение Арбитражного суда города Москвы от 16.07.2020, постановление Девятого арбитражного апелляционного суда от 21.10.2020 и постановление Арбитражного суда Московского округа от 29.06.2021 по делу № А40-29827/2020,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«Медфлагман»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ООО "Медфлагман" (подробнее) Ответчики: ГОСУДАРСТВЕННОЕ БЮДЖЕТНОЕ УЧРЕЖДЕНИЕ ЗДРАВООХРАНЕНИЯ ГОРОДА МОСКВЫ "ДИАГНОСТИЧЕСКИЙ ЦЕНТР №3 ДЕПАРТАМЕНТА ЗДРАВООХРАНЕНИЯ ГОРОДА МОСКВЫ" (подробнее) Судьи дела: Антонова М.К. (судья) (подробнее) Последние документы по делу: Определение от 16 ноября 2021 г. по делу № А40-29827/2020 Определение от 25 октября 2021 г. по делу № А40-29827/2020 Определение от 2 сентября 2021 г. по делу № А40-29827/2020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