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подает кассационную жалобу, указывая на то, что не привлечена к участию в деле, но судебные акты нарушают ее права. В силу части 1 статьи 291.1 Арбитражного процессуального кодекса Российской Федерации судебные акты могут быть обжалованы лицами, участвующими в деле, а также иными лицами (статья 42 Кодекса) в случае принятия оспариваемого судебного акта о правах и обязанностях таких лиц. Заявитель не относится к числу лиц, которым предоставлено право на подачу жалобы на оспариваемые судебные акты. Наличие иного интереса в оспаривании судебных актов не влечет возникновения права на подачу жалобы. Учитывая принятие жалобы к производству без достаточных оснований, производство по жалобе подлежит прекращению применительно к пункту 1 части 1 статьи 150 (пункту 1 части 1 статьи 127.1) названного Кодекса. Руководствуясь статьей 184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гражданки Кулешовой С.И. на определение Арбитражного суда города Москвы от 18.03.2021, постановление Девятого арбитражного апелляционного суда от 08.06.2021 и постановление Арбитражного суда Московского округа от 02.09.2021 по делу №А40-106979/2019 прекратить.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