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04.02.2021, оставленным без изменения постановлением Тринадцатого арбитражного апелляционного суда от 21.04.2021 и постановлением Арбитражного суда Северо-Западного округа от 15.07.2021, в удовлетворении заявления отказано. В кассационной жалобе Дубровина В.Ф. просит об отмене судебных актов, ссылаясь на принятие их без учета позиции Конституционного Суда.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Наличие у спорного дома исполнительского иммунитета в качестве основания невключения его в конкурсную массу установлено судами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 и не противоречит постановлению Конституционного Суда от 26.04.2021 № 15-П.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Дубровиной Валентине Федоровне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