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30.12.2020, оставленным без изменения постановлением Тринадцатого арбитражного апелляционного суда от 15.04.2021 и постановлением Арбитражного суда Северо-Западного округа от 03.08.2021, заявление удовлетворено. В кассационной жалобе Милосердов А.Ю. просит об отмене судебных актов, ссылаясь на защищенность исполнительским иммунитетом спорной суммы, являющейся частью жилищной субсидии, расходование которой неподконтрольно финансовому управляющему.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Оспариваемый платеж, обстоятельства которого в ситуации банкротства должник не довел до финансового управляющего и не подтвердил в суде, является ничтожной сделкой в силу статьи 174.1 Гражданского кодекса Российской Федерации и абзаца 3 пункта 5 статьи 213.25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Милосердову Алексею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