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Архангельской области от 07.05.2021, оставленным без изменения постановлением Четырнадцатого арбитражного апелляционного суда от 09.07.2021 и постановлением Арбитражного суда Северо-Западного округа от 01.09.2021, жалоба Карпова В.А. на действия (бездействия) финансового управляющего с заявлением о его отстранении от исполнения обязанностей возвращена заявителю. В кассационной жалобе Карпов В.А. просит отменить судебные акты, ссылаясь на незаконные действия финансового управляющего в споре об оспаривании сделки с участием заявителя в качестве основания для подачи рассматриваемого заявления.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На ошибочность позиции заявителя о распространении права обжалования на находящиеся за пределами обособленного спора с его участием любых судебных актов, принятых в деле о банкротстве, к участникам которого заявитель не отнесен, со ссылкой на правовое обоснование указал окружной суд.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Карпову Владимиру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